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7C" w:rsidRDefault="00D4427C" w:rsidP="00D442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D4427C" w:rsidRDefault="00D4427C" w:rsidP="00D442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7C" w:rsidRDefault="00D4427C" w:rsidP="00D442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C1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</w:t>
      </w:r>
    </w:p>
    <w:p w:rsidR="00D4427C" w:rsidRDefault="00D4427C" w:rsidP="00D442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44C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644C1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44C1">
        <w:rPr>
          <w:rFonts w:ascii="Times New Roman" w:hAnsi="Times New Roman" w:cs="Times New Roman"/>
          <w:b/>
          <w:bCs/>
          <w:sz w:val="28"/>
          <w:szCs w:val="28"/>
        </w:rPr>
        <w:t>Тляратинский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644C1">
        <w:rPr>
          <w:rFonts w:ascii="Times New Roman" w:hAnsi="Times New Roman" w:cs="Times New Roman"/>
          <w:b/>
          <w:bCs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федеральной целевой программы</w:t>
      </w:r>
      <w:r w:rsidRPr="0076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44C1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 приграничных районов Республики Дагестан на период до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27C" w:rsidRDefault="00D4427C" w:rsidP="00D442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7C" w:rsidRPr="00907406" w:rsidRDefault="00D4427C" w:rsidP="00D4427C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7406">
        <w:rPr>
          <w:rFonts w:ascii="Times New Roman" w:hAnsi="Times New Roman" w:cs="Times New Roman"/>
          <w:b/>
          <w:bCs/>
          <w:sz w:val="28"/>
          <w:szCs w:val="28"/>
        </w:rPr>
        <w:t>Общая  характеристика</w:t>
      </w:r>
      <w:proofErr w:type="gramEnd"/>
      <w:r w:rsidRPr="00907406">
        <w:rPr>
          <w:rFonts w:ascii="Times New Roman" w:hAnsi="Times New Roman" w:cs="Times New Roman"/>
          <w:b/>
          <w:bCs/>
          <w:sz w:val="28"/>
          <w:szCs w:val="28"/>
        </w:rPr>
        <w:t>,  особенности   и  проблемы</w:t>
      </w:r>
    </w:p>
    <w:p w:rsidR="00D4427C" w:rsidRDefault="00D4427C" w:rsidP="00D442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развития  МО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«Тляратинский  район» по состоянию на 01.01.2013 г.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Тляратинский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   входит в  состав  горной  зоны  Дагестана,  является  высокогорной  территорией.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Граничить: на севере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районом,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юге – с  Республикой  Азербайджан  и  Республикой  Грузия, на  западе-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районом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участок)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районом, на  востоке  -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районами.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составляет  в  пределах  границы  муниципального  образования – 161152 га,  или  3,2 % от  общей  площади  Дагестана.</w:t>
      </w:r>
    </w:p>
    <w:p w:rsidR="00D4427C" w:rsidRDefault="00011726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-28340</w:t>
      </w:r>
      <w:r w:rsidR="00D4427C">
        <w:rPr>
          <w:rFonts w:ascii="Times New Roman" w:hAnsi="Times New Roman" w:cs="Times New Roman"/>
          <w:sz w:val="28"/>
          <w:szCs w:val="28"/>
        </w:rPr>
        <w:t xml:space="preserve"> чел., в </w:t>
      </w:r>
      <w:proofErr w:type="spellStart"/>
      <w:r w:rsidR="00D44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4427C">
        <w:rPr>
          <w:rFonts w:ascii="Times New Roman" w:hAnsi="Times New Roman" w:cs="Times New Roman"/>
          <w:sz w:val="28"/>
          <w:szCs w:val="28"/>
        </w:rPr>
        <w:t xml:space="preserve">. в административных границах </w:t>
      </w:r>
      <w:proofErr w:type="gramStart"/>
      <w:r w:rsidR="00D4427C">
        <w:rPr>
          <w:rFonts w:ascii="Times New Roman" w:hAnsi="Times New Roman" w:cs="Times New Roman"/>
          <w:sz w:val="28"/>
          <w:szCs w:val="28"/>
        </w:rPr>
        <w:t>района  проживает</w:t>
      </w:r>
      <w:proofErr w:type="gramEnd"/>
      <w:r w:rsidR="00D442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7688</w:t>
      </w:r>
      <w:r w:rsidR="00D4427C">
        <w:rPr>
          <w:rFonts w:ascii="Times New Roman" w:hAnsi="Times New Roman" w:cs="Times New Roman"/>
          <w:sz w:val="28"/>
          <w:szCs w:val="28"/>
        </w:rPr>
        <w:t xml:space="preserve"> чел.,  в  зоне  отгонного животноводства -10</w:t>
      </w:r>
      <w:r>
        <w:rPr>
          <w:rFonts w:ascii="Times New Roman" w:hAnsi="Times New Roman" w:cs="Times New Roman"/>
          <w:sz w:val="28"/>
          <w:szCs w:val="28"/>
        </w:rPr>
        <w:t>652</w:t>
      </w:r>
      <w:r w:rsidR="00D4427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республикан</w:t>
      </w:r>
      <w:r w:rsidR="00011726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011726">
        <w:rPr>
          <w:rFonts w:ascii="Times New Roman" w:hAnsi="Times New Roman" w:cs="Times New Roman"/>
          <w:sz w:val="28"/>
          <w:szCs w:val="28"/>
        </w:rPr>
        <w:t xml:space="preserve">  центра гор. Махачкала -22</w:t>
      </w:r>
      <w:r>
        <w:rPr>
          <w:rFonts w:ascii="Times New Roman" w:hAnsi="Times New Roman" w:cs="Times New Roman"/>
          <w:sz w:val="28"/>
          <w:szCs w:val="28"/>
        </w:rPr>
        <w:t xml:space="preserve">0 км.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ближайшего ж/д  станции  гор. Буйнакск -</w:t>
      </w:r>
      <w:r w:rsidR="00011726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 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поселений  - 19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  общим числом  сельских  населенных  пунктов -106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  том  числе  1 сельское  поселение: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 отгонного  животноводства, кроме  того в административном подчинении района в зоне  отгонного животноводства находится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 пунктов относится  к  категории «Малые» -60 ед., в  которых  проживают -8186 чел., 28- относится   к  категории «Средние», с  числом населения -14662 чел.,  3- «Крупные» - с население – 4348 чел.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 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около -31%  селений с  числом жителей  до  100 чел., что  говорит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мелкоселенном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характере  расселения  района. Также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находится  3 населенных  пункта  без населения.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Особые  условия</w:t>
      </w:r>
      <w:proofErr w:type="gram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преобладаются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 населенных  пунктов  относится  к  труднодоступным  местностям  РД, к  ним  относится  -68 населенных  пунктов, т е,  77% от  общего количества  населенных  пунктов в административной  границы  района.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99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Транспортно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географическое  положение</w:t>
      </w:r>
      <w:proofErr w:type="gram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глубинным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периферийным  и  труднодоступным  районом  Дагестана,  имеет  неблагоприятное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географическое  положение по  отношению к  столичному  центру – гор. Махачкала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является  территориально  изолированной  и  приграничной  территорией  РД.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другими  территориями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республик, а  так же  с  другими  регионами  России   осуществляется   преимущественно по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Современная  сеть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автодорог  района  включает  автомобильные  дороги  республиканского  значения, и  характеризуется  низким  качеством дорог (преобладание автодорог низких технических категорий (*пятой, четвертой),   наличие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дорог),  множество лавиноопасных  участков дорог,  оползни и т.д.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Автомобильные  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Федерального значения на  территории района отсутствуют.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6F49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проблемы  развития  района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высокогорной,  труднодоступной территорией  РД,  на  территории района  находится  государственная  граница  РФ,  с  пограничной  зоной и  соответствующей   инфраструктурой.  Практически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  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подвержена  опасным  природным  процессам (оползни,  обвалы,  сели,  лавины,  камнепады, затопления и подтопления и  др.) до   80 % населенных пунктов  в  зимний  период    не  доступны.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комплексу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природных  факторов  территория  благоприятна  только  для  развития  туризма и  рекреации, ограниченно благоприятна  и  не  благоприятна  для  отдельных  видов  хозяйственной  деятельности   и  проживания  населения.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C458A">
        <w:rPr>
          <w:rFonts w:ascii="Times New Roman" w:hAnsi="Times New Roman" w:cs="Times New Roman"/>
          <w:b/>
          <w:bCs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ценны – альпийские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субальпийские  луга</w:t>
      </w:r>
      <w:proofErr w:type="gramEnd"/>
      <w:r>
        <w:rPr>
          <w:rFonts w:ascii="Times New Roman" w:hAnsi="Times New Roman" w:cs="Times New Roman"/>
          <w:sz w:val="28"/>
          <w:szCs w:val="28"/>
        </w:rPr>
        <w:t>, лесные  и  водные  ресурсы (как  и гидроэнергетические), рекреационные  и  охотничье  ресурсы,  минеральные  целебные  источники,  пищевые лесные ресурсы  и  лекарственные растения.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сырьевые  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представлении  местными  строительными  материалами, полиметаллами,  цементным сырьем,  горным  хрусталем, но  используются только  строительные  материалы  для  местных  потребностей.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низкий  потенциал  собственных  земельных ресурсов,  прежде  всего  земель сельскохозяйственного  значения.  Леса, занимающее около 20 % территории, имеют защитные функции (но существует проблема несанкционированной вырубки лесов), запасы подземных вод не разведены.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  территорию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занимают особо  охраняемые  природные  территории,  со  строгими регламентами для  хозяйственной деятельности: государственный  заказник «Тляратинский», площадью  83,5 тыс. 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Кособско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 заказник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 значения,  а  также – пограничная  зона, примыкающая к  Государственной  границе РФ.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экономическое  положение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4BB">
        <w:rPr>
          <w:rFonts w:ascii="Times New Roman" w:hAnsi="Times New Roman" w:cs="Times New Roman"/>
          <w:sz w:val="28"/>
          <w:szCs w:val="28"/>
        </w:rPr>
        <w:t xml:space="preserve"> характеризуется  низким  уровнем  развития  экономической  базы  и  социальной  сферы, высоким  уровнем  безработицы. 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Экономика  территориально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разорвана – хозяйственная  деятельность  и  услуга  социальной  сферы,  управленческие  функции реализуется  как  в 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Тляратинской  территории, так 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районов.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Сельское  хозяйство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главное  направление  специализации экономики  района – многоотраслевое, но  с  ведущей  ролью  животноводства (на  базе  земель  отгонного  животноводства, преимущественно в  личном  подсобном хозяйстве),  с развитием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долинного  садоводства, с  возрождающимися  зерновым  хозяйством  на  плоскости.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числу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наиболее острых  проблем  относится уровень  развития  кормовой  базы,  нецелевое  использование  сельскохозяйственных  угодий,  не  развита  сеть заготовительно- закупочных организаций.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Собственная  переработка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сельскохозяйственного  сырья не  развита,  что  порождает проблемы  с  реализацией  продукции.</w:t>
      </w:r>
    </w:p>
    <w:p w:rsidR="00D4427C" w:rsidRPr="00730D0A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Тляратинского района относительно  развиты  промышленные (деревообработка,  художественные  промыслы)  и  строительные  работы.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Народные  художественные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промыслы представлены различными  видами  и  многими  центрами,  но наличие многих острых  проблем  может привести  к  утрате  традиций,   навыков,  культуры  этносов  республики.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богатых туристско-рекреационных  ресурсов,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-рекреационная  деятельность не  развита.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 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 осложнено  статусом  приграничной  зоны (пропускной и  паспортный  режим).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Богатые  бальнеологические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ресурсы  используется  частично  местным  населением.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A84">
        <w:rPr>
          <w:rFonts w:ascii="Times New Roman" w:hAnsi="Times New Roman" w:cs="Times New Roman"/>
          <w:b/>
          <w:sz w:val="28"/>
          <w:szCs w:val="28"/>
        </w:rPr>
        <w:t>Для  формирования</w:t>
      </w:r>
      <w:proofErr w:type="gramEnd"/>
      <w:r w:rsidRPr="00552A84">
        <w:rPr>
          <w:rFonts w:ascii="Times New Roman" w:hAnsi="Times New Roman" w:cs="Times New Roman"/>
          <w:b/>
          <w:sz w:val="28"/>
          <w:szCs w:val="28"/>
        </w:rPr>
        <w:t xml:space="preserve">   единой  базы  инвестиционных проектов администрацией  района предлагает  следующее  проекты:</w:t>
      </w:r>
    </w:p>
    <w:p w:rsidR="00D4427C" w:rsidRPr="00552A84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A84">
        <w:rPr>
          <w:rFonts w:ascii="Times New Roman" w:hAnsi="Times New Roman" w:cs="Times New Roman"/>
          <w:b/>
          <w:i/>
          <w:sz w:val="28"/>
          <w:szCs w:val="28"/>
        </w:rPr>
        <w:t xml:space="preserve">1.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целях </w:t>
      </w:r>
      <w:proofErr w:type="gramStart"/>
      <w:r w:rsidRPr="00552A84">
        <w:rPr>
          <w:rFonts w:ascii="Times New Roman" w:hAnsi="Times New Roman" w:cs="Times New Roman"/>
          <w:b/>
          <w:i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52A84">
        <w:rPr>
          <w:rFonts w:ascii="Times New Roman" w:hAnsi="Times New Roman" w:cs="Times New Roman"/>
          <w:b/>
          <w:i/>
          <w:sz w:val="28"/>
          <w:szCs w:val="28"/>
        </w:rPr>
        <w:t xml:space="preserve">  сельского</w:t>
      </w:r>
      <w:proofErr w:type="gramEnd"/>
      <w:r w:rsidRPr="00552A84">
        <w:rPr>
          <w:rFonts w:ascii="Times New Roman" w:hAnsi="Times New Roman" w:cs="Times New Roman"/>
          <w:b/>
          <w:i/>
          <w:sz w:val="28"/>
          <w:szCs w:val="28"/>
        </w:rPr>
        <w:t xml:space="preserve">  хозяйства  и  объектов   агропромышленного  комплекса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собственную  переработку сельскохозяйственного сырья; развивать племенное животноводство, овцеводство, птицеводство,  садоводство, овощеводство, кормовую   базу;  развивать сети заготовительно-закупочных  организаций, организовать  заготовку и переработку продукции вторичного лесопользования и лекарственно-технического  сырья;    развивать мелиорацию, повышать  эффективность  использования  оросительных  систем,  восстанавливать внутрихозяйственные оросительные  системы,.</w:t>
      </w:r>
    </w:p>
    <w:p w:rsidR="00D4427C" w:rsidRPr="00C701F9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01F9">
        <w:rPr>
          <w:rFonts w:ascii="Times New Roman" w:hAnsi="Times New Roman" w:cs="Times New Roman"/>
          <w:b/>
          <w:i/>
          <w:sz w:val="28"/>
          <w:szCs w:val="28"/>
        </w:rPr>
        <w:t>Для  реализации</w:t>
      </w:r>
      <w:proofErr w:type="gramEnd"/>
      <w:r w:rsidRPr="00C701F9">
        <w:rPr>
          <w:rFonts w:ascii="Times New Roman" w:hAnsi="Times New Roman" w:cs="Times New Roman"/>
          <w:b/>
          <w:i/>
          <w:sz w:val="28"/>
          <w:szCs w:val="28"/>
        </w:rPr>
        <w:t xml:space="preserve">  программы  развития сельского хозяйства и  объектов АПК  в  зоне  отгонного  животноводства необходимо предусмотреть  на  201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701F9">
        <w:rPr>
          <w:rFonts w:ascii="Times New Roman" w:hAnsi="Times New Roman" w:cs="Times New Roman"/>
          <w:b/>
          <w:i/>
          <w:sz w:val="28"/>
          <w:szCs w:val="28"/>
        </w:rPr>
        <w:t>–2015 годы.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Строительство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овцетоварной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Ногайском  районе.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Строительство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овцетоварной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Ногайском  районе.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Строительство молочно-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  фермы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СПК «Чкалова»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1.4.Строительство молочно-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  фермы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СПК «</w:t>
      </w:r>
      <w:proofErr w:type="spellStart"/>
      <w:r w:rsidR="00011726">
        <w:rPr>
          <w:rFonts w:ascii="Times New Roman" w:hAnsi="Times New Roman" w:cs="Times New Roman"/>
          <w:sz w:val="28"/>
          <w:szCs w:val="28"/>
        </w:rPr>
        <w:t>Сакури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переработке молока – СПК «</w:t>
      </w:r>
      <w:proofErr w:type="spellStart"/>
      <w:r w:rsidR="00011726"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10  тонн в  сутки.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садоводства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  земельные  участки: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>- 10 га.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 га.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СПК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Фрунзе»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- 8 га.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- 8 га (в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районе).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 цеха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переработке плодоовощной  продукции в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552A84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A84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552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52A84">
        <w:rPr>
          <w:rFonts w:ascii="Times New Roman" w:hAnsi="Times New Roman" w:cs="Times New Roman"/>
          <w:b/>
          <w:i/>
          <w:sz w:val="28"/>
          <w:szCs w:val="28"/>
        </w:rPr>
        <w:t>Строительство  объектов</w:t>
      </w:r>
      <w:proofErr w:type="gramEnd"/>
      <w:r w:rsidRPr="00552A84">
        <w:rPr>
          <w:rFonts w:ascii="Times New Roman" w:hAnsi="Times New Roman" w:cs="Times New Roman"/>
          <w:b/>
          <w:i/>
          <w:sz w:val="28"/>
          <w:szCs w:val="28"/>
        </w:rPr>
        <w:t xml:space="preserve">  непроизводственного  назначения в  зоне  отгонного  животноводства: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DB0681" w:rsidRDefault="00D4427C" w:rsidP="00D4427C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2.1. </w:t>
      </w:r>
      <w:proofErr w:type="gramStart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Учреждения  образования</w:t>
      </w:r>
      <w:proofErr w:type="gram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Орджоникидзе» -  200 уч. 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2.СПК «Тельмана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 100 уч. 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220 уч. 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4.СПК «Ибрагим-отар» -  </w:t>
      </w:r>
      <w:r w:rsidR="00011726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уч. м.</w:t>
      </w:r>
    </w:p>
    <w:p w:rsidR="00D4427C" w:rsidRDefault="00D4427C" w:rsidP="00D4427C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 120</w:t>
      </w:r>
      <w:r w:rsidR="0001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уч. 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СПК «им. Шамиля» НОШ -  40 уч. 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НОШ -  40 уч. 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DB0681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68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681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DB0681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Учреждения  дошкольного</w:t>
      </w:r>
      <w:proofErr w:type="gramEnd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образования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1.Ясли – сад СПК «Ибрагим-отар» -  3 группы.</w:t>
      </w:r>
    </w:p>
    <w:p w:rsidR="00D4427C" w:rsidRPr="000E08AF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2.Ясли – сад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3.Ясли – сад СПК «Фрунзе»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4.Ясли – сад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 3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5.Ясли – сад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6.Ясли – сад СПК «Тельмана»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7.Ясли – сад СПК «Победа –Тельмана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8.Ясли – сад СПК «Свердлова»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9.Ясли – сад СПК «Правда»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10.Ясли – сад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11.Ясли – сад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 группы.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12.Ясли – сад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 2 группы.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DB0681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681">
        <w:rPr>
          <w:rFonts w:ascii="Times New Roman" w:hAnsi="Times New Roman" w:cs="Times New Roman"/>
          <w:i/>
          <w:sz w:val="28"/>
          <w:szCs w:val="28"/>
        </w:rPr>
        <w:tab/>
      </w:r>
      <w:r w:rsidRPr="00DB0681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2.3. </w:t>
      </w:r>
      <w:proofErr w:type="gramStart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Учреждения  здравоохранения</w:t>
      </w:r>
      <w:proofErr w:type="gram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0779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Участковая  больница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-50 коек/мест.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Фельдшерско-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акушерские  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Цумилюхский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ФАП – СПК «Свердлова»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4.ФАП – СПК «Победа»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ФАП – СПК «Фрунзе»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6.ФАП –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DB0681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681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DB0681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2.4. </w:t>
      </w:r>
      <w:proofErr w:type="gramStart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Учреждения  культуры</w:t>
      </w:r>
      <w:proofErr w:type="gramEnd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(сельские  клубы):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9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СПК  «</w:t>
      </w:r>
      <w:proofErr w:type="gramEnd"/>
      <w:r>
        <w:rPr>
          <w:rFonts w:ascii="Times New Roman" w:hAnsi="Times New Roman" w:cs="Times New Roman"/>
          <w:sz w:val="28"/>
          <w:szCs w:val="28"/>
        </w:rPr>
        <w:t>Тельмана» - 120 п/м.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2.СПК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Цумилюхский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- 120 п/м.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3.СПК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- 250 п/м.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4.СПК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- 120 п/м.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5.СПК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Генеколоб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- 200 п/м.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6.СПК  «</w:t>
      </w:r>
      <w:proofErr w:type="gramEnd"/>
      <w:r>
        <w:rPr>
          <w:rFonts w:ascii="Times New Roman" w:hAnsi="Times New Roman" w:cs="Times New Roman"/>
          <w:sz w:val="28"/>
          <w:szCs w:val="28"/>
        </w:rPr>
        <w:t>Фрунзе» - 120 п/м.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DB0681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68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681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2.5. </w:t>
      </w:r>
      <w:proofErr w:type="gramStart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Спортивные  объекты</w:t>
      </w:r>
      <w:proofErr w:type="gramEnd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(спортзалы):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1.Ибрагим-отар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Шедрие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СПК «Тельмана»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7C" w:rsidRPr="00DB0681" w:rsidRDefault="00D4427C" w:rsidP="00D4427C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3. Инфраструктурные объекты (</w:t>
      </w:r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proofErr w:type="gramStart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>строительство  и</w:t>
      </w:r>
      <w:proofErr w:type="gramEnd"/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реконструкци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DB06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дорог):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6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Шедрин – Тельмана -  Ленина – Фрунзе реконструкции дороги 20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3.2.Шедрин-Цумилюх – Орджоникидзе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реконструкции дороги 18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Орджоникидзе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 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трассы  Кизляр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реконструкция дороги -6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СПК «Шамиля» новое  строительство  дороги, 5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 подводящих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газовых  сетей,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СПК «Забота».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Ибрагим-отар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43667E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67E">
        <w:rPr>
          <w:rFonts w:ascii="Times New Roman" w:hAnsi="Times New Roman" w:cs="Times New Roman"/>
          <w:b/>
          <w:sz w:val="28"/>
          <w:szCs w:val="28"/>
        </w:rPr>
        <w:t>В административной границе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 на 2013</w:t>
      </w:r>
      <w:r w:rsidRPr="0043667E">
        <w:rPr>
          <w:rFonts w:ascii="Times New Roman" w:hAnsi="Times New Roman" w:cs="Times New Roman"/>
          <w:b/>
          <w:sz w:val="28"/>
          <w:szCs w:val="28"/>
        </w:rPr>
        <w:t xml:space="preserve">-2015гг. </w:t>
      </w:r>
      <w:proofErr w:type="gramStart"/>
      <w:r w:rsidRPr="0043667E">
        <w:rPr>
          <w:rFonts w:ascii="Times New Roman" w:hAnsi="Times New Roman" w:cs="Times New Roman"/>
          <w:b/>
          <w:sz w:val="28"/>
          <w:szCs w:val="28"/>
        </w:rPr>
        <w:t>необходимо  предусмотреть</w:t>
      </w:r>
      <w:proofErr w:type="gramEnd"/>
      <w:r w:rsidRPr="0043667E">
        <w:rPr>
          <w:rFonts w:ascii="Times New Roman" w:hAnsi="Times New Roman" w:cs="Times New Roman"/>
          <w:b/>
          <w:sz w:val="28"/>
          <w:szCs w:val="28"/>
        </w:rPr>
        <w:t>:</w:t>
      </w:r>
    </w:p>
    <w:p w:rsidR="00D4427C" w:rsidRPr="0043667E" w:rsidRDefault="00D4427C" w:rsidP="00D4427C">
      <w:pPr>
        <w:pStyle w:val="a3"/>
        <w:tabs>
          <w:tab w:val="left" w:pos="91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67E">
        <w:rPr>
          <w:rFonts w:ascii="Times New Roman" w:hAnsi="Times New Roman" w:cs="Times New Roman"/>
          <w:b/>
          <w:i/>
          <w:sz w:val="28"/>
          <w:szCs w:val="28"/>
        </w:rPr>
        <w:t>1. Объекты производственного назначения: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1.1.Строительство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миниэлектростанций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асфальтового  завода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с.Анцух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1.3.Строительство цеха по переработке древесины в с.  Тлярата.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1.4.Строительство мини завода по розливу горной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с.Тлярата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Малые цеха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переработке  мясо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-молочной 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кожмехсырья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с.Тлярата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1.6.Разведение форельного хозяйства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с.Укал,Гведиш</w:t>
      </w:r>
      <w:proofErr w:type="gramEnd"/>
      <w:r>
        <w:rPr>
          <w:rFonts w:ascii="Times New Roman" w:hAnsi="Times New Roman" w:cs="Times New Roman"/>
          <w:sz w:val="28"/>
          <w:szCs w:val="28"/>
        </w:rPr>
        <w:t>,Шидиб-Ланда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1.7.Пчеловодство: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Гведиш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Колоб,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Камилюх,Чорода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цехов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носков,джурабов,платков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с.Кутлаб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1.9.Цех по ковроткачеству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с.Гиндиб-Кардиб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27C" w:rsidRPr="0043667E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67E">
        <w:rPr>
          <w:rFonts w:ascii="Times New Roman" w:hAnsi="Times New Roman" w:cs="Times New Roman"/>
          <w:b/>
          <w:i/>
          <w:sz w:val="28"/>
          <w:szCs w:val="28"/>
        </w:rPr>
        <w:t>2. Объекты непроизводственного назначения: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2.1.Строительство новых типовых школ: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с.Камилюх-120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уч.мест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с.Саниорта-120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с.Сикар-80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с.Укал-80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с.Шидиб-120 уч. мест.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Строительство дошкольных образовательных учреждений: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011726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Цумилу</w:t>
      </w:r>
      <w:r w:rsidR="00D442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427C"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011726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Камилу</w:t>
      </w:r>
      <w:r w:rsidR="00D442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427C"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Чадаколоб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</w:t>
      </w:r>
      <w:r w:rsidR="00246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Гведыш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15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15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Нитиисух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Росноб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15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 ясли–сад 30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ясли–сад 15 мест</w:t>
      </w:r>
    </w:p>
    <w:p w:rsidR="00D4427C" w:rsidRDefault="00D4427C" w:rsidP="00D4427C">
      <w:pPr>
        <w:pStyle w:val="a3"/>
        <w:numPr>
          <w:ilvl w:val="0"/>
          <w:numId w:val="2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Тлярата ясли–сад 120 мест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Строительство </w:t>
      </w:r>
      <w:proofErr w:type="spellStart"/>
      <w:r w:rsidR="00011726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с.Гараколоб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Саниорта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Барнаб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Бетельда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Кардиб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Хидиб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Цумилюх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Гебгуда</w:t>
      </w:r>
      <w:proofErr w:type="spellEnd"/>
    </w:p>
    <w:p w:rsidR="00011726" w:rsidRDefault="00011726" w:rsidP="00011726">
      <w:pPr>
        <w:pStyle w:val="a3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Кособ</w:t>
      </w:r>
      <w:proofErr w:type="spellEnd"/>
    </w:p>
    <w:p w:rsidR="00D4427C" w:rsidRPr="00484CF5" w:rsidRDefault="00D4427C" w:rsidP="00D4427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2.4.Строительство участковых больниц:</w:t>
      </w:r>
    </w:p>
    <w:p w:rsidR="00D4427C" w:rsidRPr="00484CF5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Мутрутль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Анцух</w:t>
      </w:r>
      <w:proofErr w:type="spellEnd"/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Строительство клубов с библиотеками:</w:t>
      </w:r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Гортноб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Герель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Камилюх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Генеколоб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Нурух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Никлида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Начада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Бежуда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Жажада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Саниорта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</w:t>
      </w:r>
      <w:proofErr w:type="spellEnd"/>
    </w:p>
    <w:p w:rsidR="00D4427C" w:rsidRDefault="00D4427C" w:rsidP="00D4427C">
      <w:pPr>
        <w:pStyle w:val="a3"/>
        <w:numPr>
          <w:ilvl w:val="0"/>
          <w:numId w:val="3"/>
        </w:num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Салда</w:t>
      </w:r>
    </w:p>
    <w:p w:rsidR="00D4427C" w:rsidRDefault="00D4427C" w:rsidP="00D4427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Default="00D4427C" w:rsidP="00D4427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Строительство спортзалов:</w:t>
      </w:r>
    </w:p>
    <w:p w:rsidR="00D4427C" w:rsidRDefault="00D4427C" w:rsidP="00D4427C">
      <w:pPr>
        <w:pStyle w:val="a3"/>
        <w:numPr>
          <w:ilvl w:val="0"/>
          <w:numId w:val="4"/>
        </w:numPr>
        <w:tabs>
          <w:tab w:val="left" w:pos="709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Бетельда</w:t>
      </w:r>
      <w:proofErr w:type="spellEnd"/>
    </w:p>
    <w:p w:rsidR="00D4427C" w:rsidRDefault="00D4427C" w:rsidP="00D4427C">
      <w:pPr>
        <w:pStyle w:val="a3"/>
        <w:numPr>
          <w:ilvl w:val="0"/>
          <w:numId w:val="4"/>
        </w:numPr>
        <w:tabs>
          <w:tab w:val="left" w:pos="709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Гведыш</w:t>
      </w:r>
      <w:proofErr w:type="spellEnd"/>
    </w:p>
    <w:p w:rsidR="00D4427C" w:rsidRDefault="00D4427C" w:rsidP="00D4427C">
      <w:pPr>
        <w:pStyle w:val="a3"/>
        <w:numPr>
          <w:ilvl w:val="0"/>
          <w:numId w:val="4"/>
        </w:numPr>
        <w:tabs>
          <w:tab w:val="left" w:pos="709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Цумилюх</w:t>
      </w:r>
      <w:proofErr w:type="spellEnd"/>
    </w:p>
    <w:p w:rsidR="00D4427C" w:rsidRDefault="00D4427C" w:rsidP="00D4427C">
      <w:pPr>
        <w:pStyle w:val="a3"/>
        <w:numPr>
          <w:ilvl w:val="0"/>
          <w:numId w:val="4"/>
        </w:numPr>
        <w:tabs>
          <w:tab w:val="left" w:pos="709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Тохота</w:t>
      </w:r>
      <w:proofErr w:type="spellEnd"/>
    </w:p>
    <w:p w:rsidR="00011726" w:rsidRDefault="00011726" w:rsidP="000117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 Строительство плоскостных сооружений в центрах сельских поселений.</w:t>
      </w:r>
    </w:p>
    <w:p w:rsidR="00D4427C" w:rsidRDefault="00D4427C" w:rsidP="00D4427C">
      <w:pPr>
        <w:pStyle w:val="a3"/>
        <w:ind w:left="2850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43667E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67E">
        <w:rPr>
          <w:rFonts w:ascii="Times New Roman" w:hAnsi="Times New Roman" w:cs="Times New Roman"/>
          <w:b/>
          <w:i/>
          <w:sz w:val="28"/>
          <w:szCs w:val="28"/>
        </w:rPr>
        <w:t>3. Инфраструктурные объекты.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3.1.Строительство и реконструкция дорог: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  а</w:t>
      </w:r>
      <w:proofErr w:type="gramEnd"/>
      <w:r>
        <w:rPr>
          <w:rFonts w:ascii="Times New Roman" w:hAnsi="Times New Roman" w:cs="Times New Roman"/>
          <w:sz w:val="28"/>
          <w:szCs w:val="28"/>
        </w:rPr>
        <w:t>) Тлярата-Калиш-4км. новое строительство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4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Тлярата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-1,5 км. новое строительство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Тохота-в.Тохота-1,5км. новое строительство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Начада-1,5 км реконструкция.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Харада-1,5км. реконструкция.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3.2.Асфальтирование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-Тлярата -18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Асфальтирование 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Тлярата -8км.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3.4Проведение линии водопровода и водоотвода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внутри  райцентра -20км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3.5.Проведение линии водопровода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с.</w:t>
      </w:r>
      <w:r w:rsidR="002460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Албания -6км.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Цумилюх-Росноб-Нитиицух-3км.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Никлида-Роста-5км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>- Хорта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Сикар-Никар-3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с Тохота-1,5км.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Проведение берегоукрепительных работ на участках: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4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Тлярата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-1,5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4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Тилютли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Тох-орда -1,5км.</w:t>
      </w:r>
    </w:p>
    <w:p w:rsidR="00D4427C" w:rsidRDefault="00246004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местечко</w:t>
      </w:r>
      <w:r w:rsidR="00D4427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4427C">
        <w:rPr>
          <w:rFonts w:ascii="Times New Roman" w:hAnsi="Times New Roman" w:cs="Times New Roman"/>
          <w:sz w:val="28"/>
          <w:szCs w:val="28"/>
        </w:rPr>
        <w:t>Мугал</w:t>
      </w:r>
      <w:proofErr w:type="spellEnd"/>
      <w:r w:rsidR="00D4427C">
        <w:rPr>
          <w:rFonts w:ascii="Times New Roman" w:hAnsi="Times New Roman" w:cs="Times New Roman"/>
          <w:sz w:val="28"/>
          <w:szCs w:val="28"/>
        </w:rPr>
        <w:t>-ген) – Укал – 1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4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Тлярата –Цемар-2 км.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 2015 года провести линии газопровода до райцентра с. Тлярата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>.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подстанций:</w:t>
      </w:r>
    </w:p>
    <w:p w:rsidR="00D4427C" w:rsidRDefault="00D4427C" w:rsidP="00D4427C">
      <w:pPr>
        <w:pStyle w:val="a3"/>
        <w:numPr>
          <w:ilvl w:val="0"/>
          <w:numId w:val="5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Мутрутль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35/10 квт.</w:t>
      </w:r>
    </w:p>
    <w:p w:rsidR="00D4427C" w:rsidRDefault="00D4427C" w:rsidP="00D4427C">
      <w:pPr>
        <w:pStyle w:val="a3"/>
        <w:numPr>
          <w:ilvl w:val="0"/>
          <w:numId w:val="5"/>
        </w:numPr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Тлярата – 110/35 квт.</w:t>
      </w:r>
    </w:p>
    <w:p w:rsidR="00011726" w:rsidRDefault="00011726" w:rsidP="0001172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Строительство гостиницы и банно-прачечного комплекса в с. Тлярата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инвестиционные площадки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«сельсовет Тляратинский» в местечке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-ген» - 1500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для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полукрытого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рынка, в местечке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предпринимательства, в  местечке  «Тох-орда» - 1000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жилой  комплекс,  пожарный  пункт, эти  земельные  участки находятся  вдоль берега  реки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»,  здесь  крайне  необходимо  в  первую  очередь провести берегоукрепительные  работ.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Саниортински</w:t>
      </w:r>
      <w:r w:rsidR="002460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46004">
        <w:rPr>
          <w:rFonts w:ascii="Times New Roman" w:hAnsi="Times New Roman" w:cs="Times New Roman"/>
          <w:sz w:val="28"/>
          <w:szCs w:val="28"/>
        </w:rPr>
        <w:t xml:space="preserve">» отведена  площадка 700 </w:t>
      </w:r>
      <w:proofErr w:type="spellStart"/>
      <w:r w:rsidR="002460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6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 местечке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для  строительства  типовой  школы  на 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речки отведена площадка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строительства детского-оздоровительного лагеря.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C" w:rsidRPr="0043667E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BBC">
        <w:rPr>
          <w:rFonts w:ascii="Times New Roman" w:hAnsi="Times New Roman" w:cs="Times New Roman"/>
          <w:b/>
          <w:i/>
          <w:sz w:val="28"/>
          <w:szCs w:val="28"/>
        </w:rPr>
        <w:t>4. Территория вдоль рек Ав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51BBC">
        <w:rPr>
          <w:rFonts w:ascii="Times New Roman" w:hAnsi="Times New Roman" w:cs="Times New Roman"/>
          <w:b/>
          <w:i/>
          <w:sz w:val="28"/>
          <w:szCs w:val="28"/>
        </w:rPr>
        <w:t xml:space="preserve">рское </w:t>
      </w:r>
      <w:proofErr w:type="spellStart"/>
      <w:r w:rsidRPr="00651BBC">
        <w:rPr>
          <w:rFonts w:ascii="Times New Roman" w:hAnsi="Times New Roman" w:cs="Times New Roman"/>
          <w:b/>
          <w:i/>
          <w:sz w:val="28"/>
          <w:szCs w:val="28"/>
        </w:rPr>
        <w:t>Койсу</w:t>
      </w:r>
      <w:proofErr w:type="spellEnd"/>
      <w:r w:rsidRPr="00651BB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651BBC">
        <w:rPr>
          <w:rFonts w:ascii="Times New Roman" w:hAnsi="Times New Roman" w:cs="Times New Roman"/>
          <w:b/>
          <w:i/>
          <w:sz w:val="28"/>
          <w:szCs w:val="28"/>
        </w:rPr>
        <w:t>Джурмут</w:t>
      </w:r>
      <w:proofErr w:type="spellEnd"/>
      <w:r w:rsidRPr="00651BBC">
        <w:rPr>
          <w:rFonts w:ascii="Times New Roman" w:hAnsi="Times New Roman" w:cs="Times New Roman"/>
          <w:b/>
          <w:i/>
          <w:sz w:val="28"/>
          <w:szCs w:val="28"/>
        </w:rPr>
        <w:t xml:space="preserve"> с центром обслуживания в с. Тлярата – это зона, в которой </w:t>
      </w:r>
      <w:proofErr w:type="gramStart"/>
      <w:r w:rsidRPr="00651BBC">
        <w:rPr>
          <w:rFonts w:ascii="Times New Roman" w:hAnsi="Times New Roman" w:cs="Times New Roman"/>
          <w:b/>
          <w:i/>
          <w:sz w:val="28"/>
          <w:szCs w:val="28"/>
        </w:rPr>
        <w:t>необходимо  проводить</w:t>
      </w:r>
      <w:proofErr w:type="gramEnd"/>
      <w:r w:rsidRPr="0043667E">
        <w:rPr>
          <w:rFonts w:ascii="Times New Roman" w:hAnsi="Times New Roman" w:cs="Times New Roman"/>
          <w:b/>
          <w:i/>
          <w:sz w:val="28"/>
          <w:szCs w:val="28"/>
        </w:rPr>
        <w:t xml:space="preserve"> поиск площадок  под туристск</w:t>
      </w:r>
      <w:r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Pr="0043667E">
        <w:rPr>
          <w:rFonts w:ascii="Times New Roman" w:hAnsi="Times New Roman" w:cs="Times New Roman"/>
          <w:b/>
          <w:i/>
          <w:sz w:val="28"/>
          <w:szCs w:val="28"/>
        </w:rPr>
        <w:t>рекреационн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ые </w:t>
      </w:r>
      <w:r w:rsidRPr="0043667E">
        <w:rPr>
          <w:rFonts w:ascii="Times New Roman" w:hAnsi="Times New Roman" w:cs="Times New Roman"/>
          <w:b/>
          <w:i/>
          <w:sz w:val="28"/>
          <w:szCs w:val="28"/>
        </w:rPr>
        <w:t>объекты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туризма: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экологический</w:t>
      </w:r>
      <w:proofErr w:type="gramEnd"/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историко-этнографический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познавательный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спортивный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религиозный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лечебно-оздоровительный</w:t>
      </w:r>
    </w:p>
    <w:p w:rsidR="00D4427C" w:rsidRDefault="00D4427C" w:rsidP="00D4427C">
      <w:pPr>
        <w:pStyle w:val="a3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 охотничий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выделенной  зоны можно  разместить  новые  рекреационные  объекты: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оздоровительный туристский центр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оздоровительный  лагерь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с. Тлярата;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туристский  приют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окрестность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Анцух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оздоровительный 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охотничья  хижина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окрестность с. Чарах;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горная  хижина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окрестность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Камилух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канатная дорога от с. Салда до с. Гагар.</w:t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427C" w:rsidRDefault="00D4427C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26" w:rsidRDefault="00011726" w:rsidP="0001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Туристические маршруты</w:t>
      </w:r>
    </w:p>
    <w:p w:rsidR="00011726" w:rsidRDefault="00011726" w:rsidP="00011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726" w:rsidRDefault="00011726" w:rsidP="0001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 является горным, поэтому туристов могут привлечь горные ландшафты и объекты культуры. К ним целесообразно организовать маршруты.</w:t>
      </w:r>
    </w:p>
    <w:p w:rsidR="00011726" w:rsidRPr="002E4C02" w:rsidRDefault="00011726" w:rsidP="0001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духовно-религиозной деятельности могут служить для организации паломнического и религиозного туризма.</w:t>
      </w:r>
    </w:p>
    <w:p w:rsidR="00011726" w:rsidRPr="00506704" w:rsidRDefault="00011726" w:rsidP="00011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726" w:rsidRDefault="00011726" w:rsidP="00D44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EC" w:rsidRDefault="00D4427C">
      <w:r w:rsidRPr="00D4427C">
        <w:rPr>
          <w:noProof/>
        </w:rPr>
        <w:lastRenderedPageBreak/>
        <w:drawing>
          <wp:inline distT="0" distB="0" distL="0" distR="0">
            <wp:extent cx="6300470" cy="8818611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4EC" w:rsidSect="00501E65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E6D"/>
    <w:multiLevelType w:val="hybridMultilevel"/>
    <w:tmpl w:val="50B8F310"/>
    <w:lvl w:ilvl="0" w:tplc="04190011">
      <w:start w:val="1"/>
      <w:numFmt w:val="decimal"/>
      <w:lvlText w:val="%1)"/>
      <w:lvlJc w:val="left"/>
      <w:pPr>
        <w:ind w:left="3270" w:hanging="360"/>
      </w:p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17345B92"/>
    <w:multiLevelType w:val="hybridMultilevel"/>
    <w:tmpl w:val="6B5AF232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04A5DD2"/>
    <w:multiLevelType w:val="hybridMultilevel"/>
    <w:tmpl w:val="2B4A2BBA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3E76647C"/>
    <w:multiLevelType w:val="hybridMultilevel"/>
    <w:tmpl w:val="603E7EAE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774E2C22"/>
    <w:multiLevelType w:val="hybridMultilevel"/>
    <w:tmpl w:val="7A7416CA"/>
    <w:lvl w:ilvl="0" w:tplc="593A5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7C"/>
    <w:rsid w:val="00011726"/>
    <w:rsid w:val="000651F2"/>
    <w:rsid w:val="000963D8"/>
    <w:rsid w:val="00106B6E"/>
    <w:rsid w:val="00167341"/>
    <w:rsid w:val="00167ACF"/>
    <w:rsid w:val="001A59EC"/>
    <w:rsid w:val="00212A51"/>
    <w:rsid w:val="00214B4E"/>
    <w:rsid w:val="00246004"/>
    <w:rsid w:val="003059FD"/>
    <w:rsid w:val="00323912"/>
    <w:rsid w:val="00384157"/>
    <w:rsid w:val="003E2C60"/>
    <w:rsid w:val="004017C4"/>
    <w:rsid w:val="00417EF5"/>
    <w:rsid w:val="00482D33"/>
    <w:rsid w:val="00494E3E"/>
    <w:rsid w:val="004C3D89"/>
    <w:rsid w:val="004F5ADE"/>
    <w:rsid w:val="00526674"/>
    <w:rsid w:val="00533998"/>
    <w:rsid w:val="00557B4B"/>
    <w:rsid w:val="005B6CB9"/>
    <w:rsid w:val="005F5640"/>
    <w:rsid w:val="005F6959"/>
    <w:rsid w:val="00624090"/>
    <w:rsid w:val="00632734"/>
    <w:rsid w:val="006A5E72"/>
    <w:rsid w:val="006D51C1"/>
    <w:rsid w:val="0071057D"/>
    <w:rsid w:val="0073443D"/>
    <w:rsid w:val="007422CD"/>
    <w:rsid w:val="007935F4"/>
    <w:rsid w:val="00796BF0"/>
    <w:rsid w:val="008A3139"/>
    <w:rsid w:val="009864EC"/>
    <w:rsid w:val="00A73186"/>
    <w:rsid w:val="00B10E14"/>
    <w:rsid w:val="00B21226"/>
    <w:rsid w:val="00B61F63"/>
    <w:rsid w:val="00C2552B"/>
    <w:rsid w:val="00C62A98"/>
    <w:rsid w:val="00C74F39"/>
    <w:rsid w:val="00CD063C"/>
    <w:rsid w:val="00D15217"/>
    <w:rsid w:val="00D22BC2"/>
    <w:rsid w:val="00D4427C"/>
    <w:rsid w:val="00E038B5"/>
    <w:rsid w:val="00EB56E0"/>
    <w:rsid w:val="00F55B3C"/>
    <w:rsid w:val="00F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367D-BE09-45F7-A007-121E5BD7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42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2013-06-18T11:18:00Z</cp:lastPrinted>
  <dcterms:created xsi:type="dcterms:W3CDTF">2013-04-05T14:18:00Z</dcterms:created>
  <dcterms:modified xsi:type="dcterms:W3CDTF">2013-06-18T11:19:00Z</dcterms:modified>
</cp:coreProperties>
</file>